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US"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US"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HR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HR</w:t>
                      </w:r>
                    </w:p>
                  </w:txbxContent>
                </v:textbox>
                <w10:wrap anchorx="page" anchory="page"/>
              </v:shape>
            </w:pict>
          </mc:Fallback>
        </mc:AlternateContent>
      </w:r>
    </w:p>
    <w:p w:rsidR="00E928ED" w:rsidRDefault="00C87E7D" w:rsidP="00FA6E4E">
      <w:pPr>
        <w:pStyle w:val="Heading110"/>
        <w:keepNext/>
        <w:keepLines/>
        <w:shd w:val="clear" w:color="auto" w:fill="auto"/>
        <w:ind w:right="200"/>
      </w:pPr>
      <w:r>
        <w:t>Simulaci</w:t>
      </w:r>
      <w:r w:rsidR="00E928ED">
        <w:t>ja djelovanja u području klime:</w:t>
      </w:r>
    </w:p>
    <w:p w:rsidR="007D1F4E" w:rsidRPr="00FA6E4E" w:rsidRDefault="00C87E7D" w:rsidP="00FA6E4E">
      <w:pPr>
        <w:pStyle w:val="Heading110"/>
        <w:keepNext/>
        <w:keepLines/>
        <w:shd w:val="clear" w:color="auto" w:fill="auto"/>
        <w:ind w:right="200"/>
      </w:pPr>
      <w:r>
        <w:t>zemlje u razvoju</w:t>
      </w:r>
      <w:bookmarkEnd w:id="0"/>
    </w:p>
    <w:p w:rsidR="007D1F4E" w:rsidRPr="00FA6E4E" w:rsidRDefault="00C87E7D" w:rsidP="00F9273F">
      <w:pPr>
        <w:pStyle w:val="Bodytext30"/>
        <w:shd w:val="clear" w:color="auto" w:fill="auto"/>
        <w:tabs>
          <w:tab w:val="left" w:pos="994"/>
          <w:tab w:val="left" w:pos="4820"/>
        </w:tabs>
        <w:spacing w:before="0" w:after="120"/>
        <w:ind w:left="400"/>
      </w:pPr>
      <w:r>
        <w:t>Pripremljeno za:</w:t>
      </w:r>
      <w:r>
        <w:tab/>
        <w:t>Glavne pregovarače u ime zemalja u razvoju</w:t>
      </w:r>
    </w:p>
    <w:p w:rsidR="007D1F4E" w:rsidRPr="00FA6E4E" w:rsidRDefault="00C87E7D" w:rsidP="00F9273F">
      <w:pPr>
        <w:pStyle w:val="Bodytext20"/>
        <w:shd w:val="clear" w:color="auto" w:fill="auto"/>
        <w:ind w:left="4820" w:firstLine="0"/>
        <w:jc w:val="both"/>
      </w:pPr>
      <w:r>
        <w:t>(više od 100 zemalja: jugoistočna Azija, većina zemalja Srednje i Južne Amerike, većina afričkih zemalja, male otočne zemlje i velik dio Bliskog istoka)</w:t>
      </w:r>
    </w:p>
    <w:p w:rsidR="007D1F4E" w:rsidRPr="00FA6E4E" w:rsidRDefault="00C87E7D" w:rsidP="00F9273F">
      <w:pPr>
        <w:pStyle w:val="Bodytext30"/>
        <w:shd w:val="clear" w:color="auto" w:fill="auto"/>
        <w:tabs>
          <w:tab w:val="left" w:pos="994"/>
        </w:tabs>
        <w:spacing w:before="0" w:after="120"/>
        <w:ind w:left="4820" w:hanging="1985"/>
      </w:pPr>
      <w:r>
        <w:t xml:space="preserve">Predmet: </w:t>
      </w:r>
      <w:r>
        <w:tab/>
        <w:t>Pripreme za sastanak na vrhu o djelovanju u području klime</w:t>
      </w:r>
    </w:p>
    <w:p w:rsidR="0063415F" w:rsidRDefault="0063415F" w:rsidP="00FA6E4E">
      <w:pPr>
        <w:pStyle w:val="Bodytext20"/>
        <w:shd w:val="clear" w:color="auto" w:fill="auto"/>
        <w:ind w:firstLine="0"/>
        <w:jc w:val="both"/>
      </w:pPr>
      <w:r>
        <w:t xml:space="preserve">Dobrodošli na sastanak na vrhu o klimi. Glavni tajnik UN-a pozvao je vas i vodeće ličnosti iz svih </w:t>
      </w:r>
      <w:bookmarkStart w:id="1" w:name="_GoBack"/>
      <w:r>
        <w:t xml:space="preserve">relevantnih skupina dionika da zajedno radite na uspješnom rješavanju pitanja klimatskih promjena. </w:t>
      </w:r>
      <w:bookmarkEnd w:id="1"/>
      <w:r>
        <w:t xml:space="preserve">Glavni tajnik u pozivu je </w:t>
      </w:r>
      <w:r>
        <w:rPr>
          <w:color w:val="0000FF"/>
          <w:u w:val="single"/>
        </w:rPr>
        <w:t>poručio</w:t>
      </w:r>
      <w:r>
        <w:t>: „Krizna situacija u pogledu klime bitka je koju zasad gubimo, ali koju bismo mogli dobiti [...] Najbolji znanstveni izvori [...] upozoravaju nas da će povećanje temperature za više od 1,5°C nanijeti nepopravljivu štetu ekosustavima o kojima ovisimo [...] Međutim, znanost nam govori i da nije prekasno. Možemo uspjeti [...] No za to će biti potrebne temeljite promjene u svim aspektima društva: u načinu na koji proizvodimo hranu i gorivo, u načinu na koji koristimo zemljište i u vrsti energije koja se koristi u gospodarstvu [...] Ako djelujemo zajedno, nitko neće biti zapostavljen.”</w:t>
      </w:r>
    </w:p>
    <w:p w:rsidR="007D1F4E" w:rsidRPr="00FA6E4E" w:rsidRDefault="0063415F" w:rsidP="00FA6E4E">
      <w:pPr>
        <w:pStyle w:val="Bodytext20"/>
        <w:shd w:val="clear" w:color="auto" w:fill="auto"/>
        <w:ind w:firstLine="0"/>
        <w:jc w:val="both"/>
      </w:pPr>
      <w:r>
        <w:t xml:space="preserve">Cilj je sastanka na vrhu pripremiti plan kojim bi se globalno zagrijavanje ograničilo na manje od 2°C [3,6°F] iznad predindustrijskih razina i nastojalo zadržati na 1,5°C [2,7°F], što su ujedno međunarodne ciljne vrijednosti formalno navedene u Pariškom klimatskom sporazumu. </w:t>
      </w:r>
      <w:r>
        <w:rPr>
          <w:color w:val="0000FF"/>
          <w:u w:val="single"/>
        </w:rPr>
        <w:t>Znanstvene činjenice</w:t>
      </w:r>
      <w:r>
        <w:t xml:space="preserve"> su jasne: zagrijavanje veće od te razine imat će katastrofalne i nepovratne posljedice koje će ugroziti zdravlje, prosperitet i život ljudi u svim zemljama.</w:t>
      </w:r>
    </w:p>
    <w:p w:rsidR="007D1F4E" w:rsidRPr="00FA6E4E" w:rsidRDefault="00C87E7D" w:rsidP="00FA6E4E">
      <w:pPr>
        <w:pStyle w:val="Bodytext20"/>
        <w:shd w:val="clear" w:color="auto" w:fill="auto"/>
        <w:ind w:firstLine="0"/>
        <w:jc w:val="both"/>
      </w:pPr>
      <w:r>
        <w:t>Vi predstavljate najslabije razvijene zemlje svijeta. Ukupan je broj stanovnika zemalja koje predstavljate oko 2,9 milijardi, odnosno oko 38 % od 7,7 milijardi ljudi u svijetu, i brzo se povećava. Međutim, u tim zemljama ostvaruje se samo 16 % svjetske gospodarske proizvodnje, uz niži BDP (bruto domaći proizvod) po stanovniku i mnogo više siromaštva nego u razvijenim zemljama.</w:t>
      </w:r>
    </w:p>
    <w:p w:rsidR="007D1F4E" w:rsidRPr="00FA6E4E" w:rsidRDefault="00C87E7D" w:rsidP="00FA6E4E">
      <w:pPr>
        <w:pStyle w:val="Bodytext20"/>
        <w:shd w:val="clear" w:color="auto" w:fill="auto"/>
        <w:spacing w:line="244" w:lineRule="exact"/>
        <w:ind w:left="400"/>
        <w:jc w:val="both"/>
      </w:pPr>
      <w:r>
        <w:t>Prioriteti koje želite uključiti u javne politike navedeni su u nastavku, no možete iznijeti ili blokirati bilo koji prijedlog.</w:t>
      </w:r>
    </w:p>
    <w:p w:rsidR="007D1F4E" w:rsidRPr="00FA6E4E" w:rsidRDefault="00C87E7D" w:rsidP="00FA6E4E">
      <w:pPr>
        <w:pStyle w:val="Bodytext30"/>
        <w:numPr>
          <w:ilvl w:val="0"/>
          <w:numId w:val="1"/>
        </w:numPr>
        <w:shd w:val="clear" w:color="auto" w:fill="auto"/>
        <w:tabs>
          <w:tab w:val="left" w:pos="362"/>
        </w:tabs>
        <w:spacing w:before="0" w:after="120"/>
        <w:ind w:left="400"/>
      </w:pPr>
      <w:r>
        <w:t>Subvencionirati obnovljivu energiju (npr. solarnu energiju, energiju vjetra, geotermalnu energiju i hidroenergiju te skladištenje energije).</w:t>
      </w:r>
    </w:p>
    <w:p w:rsidR="007D1F4E" w:rsidRPr="00FA6E4E" w:rsidRDefault="00C87E7D" w:rsidP="00FA6E4E">
      <w:pPr>
        <w:pStyle w:val="Bodytext20"/>
        <w:shd w:val="clear" w:color="auto" w:fill="auto"/>
        <w:ind w:left="400" w:firstLine="0"/>
        <w:jc w:val="both"/>
      </w:pPr>
      <w:r>
        <w:rPr>
          <w:rStyle w:val="Bodytext23"/>
        </w:rPr>
        <w:t>Industrija obnovljive energije brzo raste, ali i dalje opskrbljuje svijet s manje od 5 % energije. Subvencije će pomoći da se te industrije razviju, pri čemu će se u vašim zemljama stvarati nova radna mjesta (ako uspijete razviti tehnologije za energiju vjetra i sunca te tehnologiju baterija brže od razvijenih zemalja). Tehnologije za skladištenje (npr. baterije, toplinsko skladištenje, reverzibilne hidroelektrane) i za upravljanje dinamičkim opterećenjem za električnu energiju omogućuju da se energija iz različitih obnovljivih izvora, poput vjetra i sunca, uključi u energetski sustav, a da pritom opskrba električnom energijom bude osigurana 24 sata na dan. Zahvaljujući subvencijama za obnovljive izvore energije koje bi davale razvijene zemlje i zemlje u usponu, kao što je Kina, ti bi izvori postali puno jeftiniji za vaše zemlje, a time bi se ubrzao gospodarski razvoj.</w:t>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t>Smanjiti emisije metana, dušikova oksida i drugih stakleničkih plinova.</w:t>
      </w:r>
      <w:r>
        <w:rPr>
          <w:b w:val="0"/>
        </w:rPr>
        <w:t xml:space="preserve"> CO</w:t>
      </w:r>
      <w:r>
        <w:rPr>
          <w:b w:val="0"/>
          <w:vertAlign w:val="subscript"/>
        </w:rPr>
        <w:t>2</w:t>
      </w:r>
      <w:r>
        <w:rPr>
          <w:b w:val="0"/>
        </w:rPr>
        <w:t xml:space="preserve"> je najpoznatiji staklenički plin, no drugi plinovi uzrokuju oko četvrtine globalnog zagrijavanja, primjerice metan (CH4), dušikov oksid (N2O) i velik broj </w:t>
      </w:r>
      <w:proofErr w:type="spellStart"/>
      <w:r>
        <w:rPr>
          <w:b w:val="0"/>
        </w:rPr>
        <w:t>klorofluorougljika</w:t>
      </w:r>
      <w:proofErr w:type="spellEnd"/>
      <w:r>
        <w:rPr>
          <w:b w:val="0"/>
        </w:rPr>
        <w:t xml:space="preserve"> i drugih </w:t>
      </w:r>
      <w:proofErr w:type="spellStart"/>
      <w:r>
        <w:rPr>
          <w:b w:val="0"/>
        </w:rPr>
        <w:t>fluoriranih</w:t>
      </w:r>
      <w:proofErr w:type="spellEnd"/>
      <w:r>
        <w:rPr>
          <w:b w:val="0"/>
        </w:rPr>
        <w:t xml:space="preserve"> spojeva (takozvani F-plinovi).  Ako usporedimo učinak pojedinačnih molekula, tijekom idućih 100 godina mnogi staklenički plinovi doprinijet će globalnom zagrijavanju desecima, stotinama ili čak tisućama puta </w:t>
      </w:r>
      <w:r>
        <w:rPr>
          <w:b w:val="0"/>
        </w:rPr>
        <w:lastRenderedPageBreak/>
        <w:t>više od CO</w:t>
      </w:r>
      <w:r>
        <w:rPr>
          <w:b w:val="0"/>
          <w:vertAlign w:val="subscript"/>
        </w:rPr>
        <w:t>2</w:t>
      </w:r>
      <w:r>
        <w:rPr>
          <w:b w:val="0"/>
        </w:rPr>
        <w:t>. Koncentracije tih plinova danas nisu visoke, ali brzo se povećavaju. Većina tih emisija ispušta se u razvijenim zemljama i zemljama u brzom usponu.</w:t>
      </w:r>
    </w:p>
    <w:p w:rsidR="007D1F4E" w:rsidRPr="00FA6E4E" w:rsidRDefault="00A067A5" w:rsidP="00FA6E4E">
      <w:pPr>
        <w:pStyle w:val="Bodytext30"/>
        <w:numPr>
          <w:ilvl w:val="0"/>
          <w:numId w:val="1"/>
        </w:numPr>
        <w:shd w:val="clear" w:color="auto" w:fill="auto"/>
        <w:tabs>
          <w:tab w:val="left" w:pos="362"/>
        </w:tabs>
        <w:spacing w:before="0" w:after="120"/>
        <w:ind w:left="400"/>
      </w:pPr>
      <w:r>
        <w:t>Smanjiti deforestaciju.</w:t>
      </w:r>
      <w:r>
        <w:rPr>
          <w:b w:val="0"/>
        </w:rPr>
        <w:t xml:space="preserve"> Deforestacija trenutačno uzrokuje oko 15 % emisija stakleničkih plinova. Do velikog dijela deforestacije dolazi u tropskim šumama zemalja koje zastupate, uključujući sliv rijeke Amazone, južnu i jugoistočnu Aziju te Afriku. Zaštitom šuma mogu se smanjiti emisije te sačuvati biološka raznolikost i zaštititi opskrba vodom. S druge strane, ograničavanjem deforestacije smanjuje se i potencijalno korištenje tog zemljišta za sječu drva, proizvodnju hrane, bioenergiju i druge važne namjene.</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Razmotrite mogućnost pošumljavanja. </w:t>
      </w:r>
      <w:r>
        <w:t>Pošumljavanje je sađenje novih šuma na zemljištu na kojem nema drveća; u nekim slučajevima to je zemljište bilo iskrčeno ili degradirano. S druge strane, ako se provodi u velikim razmjerima, pošumljavanje bi moglo zauzeti zemljište potrebno za usjeve ili uzgoj stoke, zbog čega bi se povećale cijene hrane. Razmislite o tome koliko je zemljišta potrebno za politike pošumljavanja koje vi i druge skupine predlažete.</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Razmotrite mogućnost oporezivanja ugljena. </w:t>
      </w:r>
      <w:r>
        <w:t>Mnoge od zemalja koje zastupate otvaraju nove rudnike ugljena i elektrane na ugljen iako je ugljen gorivo koje ispušta najviše ugljika, a usto i uzrokuje velik dio onečišćenja zraka koje šteti milijunima osoba u vašim zemljama. Ako uvedete porez ili dodatne propise za ugljen, ili ga čak postupno izbacite iz uporabe, mogli biste brzo smanjiti emisije CO</w:t>
      </w:r>
      <w:r>
        <w:rPr>
          <w:vertAlign w:val="subscript"/>
        </w:rPr>
        <w:t>2</w:t>
      </w:r>
      <w:r>
        <w:t xml:space="preserve"> i opasnost od onečišćenja zraka te poboljšati javno zdravlje.</w:t>
      </w:r>
    </w:p>
    <w:p w:rsidR="007D1F4E" w:rsidRPr="00FA6E4E" w:rsidRDefault="00E65821" w:rsidP="00FA6E4E">
      <w:pPr>
        <w:pStyle w:val="Bodytext20"/>
        <w:numPr>
          <w:ilvl w:val="0"/>
          <w:numId w:val="1"/>
        </w:numPr>
        <w:shd w:val="clear" w:color="auto" w:fill="auto"/>
        <w:tabs>
          <w:tab w:val="left" w:pos="362"/>
        </w:tabs>
        <w:ind w:left="400"/>
        <w:jc w:val="both"/>
      </w:pPr>
      <w:r>
        <w:rPr>
          <w:b/>
        </w:rPr>
        <w:t>Razmotrite mogućnost određivanja cijene za emisije CO</w:t>
      </w:r>
      <w:r>
        <w:rPr>
          <w:b/>
          <w:vertAlign w:val="subscript"/>
        </w:rPr>
        <w:t>2</w:t>
      </w:r>
      <w:r>
        <w:rPr>
          <w:b/>
        </w:rPr>
        <w:t>.</w:t>
      </w:r>
      <w:r>
        <w:t xml:space="preserve"> Fosilna goriva i dalje dominiraju u svjetskom energetskom sustavu, a CO</w:t>
      </w:r>
      <w:r>
        <w:rPr>
          <w:vertAlign w:val="subscript"/>
        </w:rPr>
        <w:t>2</w:t>
      </w:r>
      <w:r>
        <w:t xml:space="preserve"> koji ispuštaju daleko je najveći izvor emisija stakleničkih plinova. Tržišne cijene trenutno ne uključuju ekološku i socijalnu štetu koju fosilna goriva uzrokuju (odnosno njihov takozvani „negativni vanjski učinak”). Još gore, vlade diljem svijeta (što uključuje i mnoge vlade u zemljama koje zastupate) industriji fosilnih goriva daju subvencije u vrijednosti od 775 milijardi do 1 bilijuna USD godišnje. Ekonomisti se slažu oko toga da je određivanje cijene ugljika najbolji način za smanjenje globalnih emisija stakleničkih plinova. Mogli biste podržati uvođenje cijene ugljika na svjetskoj razini, što bi se provodilo postupno kako bi bilo dovoljno vremena za prilagodbu.</w:t>
      </w:r>
    </w:p>
    <w:p w:rsidR="007D1F4E" w:rsidRPr="00FA6E4E" w:rsidRDefault="00C87E7D" w:rsidP="00FA6E4E">
      <w:pPr>
        <w:pStyle w:val="Bodytext20"/>
        <w:shd w:val="clear" w:color="auto" w:fill="auto"/>
        <w:ind w:left="400" w:firstLine="0"/>
        <w:jc w:val="both"/>
      </w:pPr>
      <w:r>
        <w:t>Prihodi od toga mogli bi se isplatiti građanima ili iskoristiti za djelomično pokrivanje troškova drugih politika. Iako su cijene ugljika uvedene u nekoliko zemalja, one su najčešće daleko niže od cijene koje preporučuju mnogi ekonomisti, odnosno 30 – 50 USD po toni CO</w:t>
      </w:r>
      <w:r>
        <w:rPr>
          <w:vertAlign w:val="subscript"/>
        </w:rPr>
        <w:t>2</w:t>
      </w:r>
      <w:r>
        <w:t xml:space="preserve"> ili više. Međutim, ne možete djelovati prebrzo. Srednja klasa u zemljama koje zastupate želi si priuštiti proizvode i usluge koje stanovništvo razvijenih zemalja uzima zdravo za gotovo (automobile, klimatizaciju, putovanja zrakoplovom itd.), dok siromašni žele pouzdanu opskrbu električnom energijom, čistu vodu, hranu, zdravstvenu skrb, pristojno stanovanje i ispunjavanje drugih osnovnih ljudskih potreba. Povećanje troškova energije imalo bi velik negativan utjecaj na obje skupine.</w:t>
      </w:r>
    </w:p>
    <w:p w:rsidR="0033065F" w:rsidRDefault="0033065F" w:rsidP="00FA6E4E">
      <w:pPr>
        <w:pStyle w:val="Bodytext50"/>
        <w:shd w:val="clear" w:color="auto" w:fill="auto"/>
        <w:spacing w:before="0"/>
        <w:rPr>
          <w:lang w:val="en-GB"/>
        </w:rPr>
      </w:pPr>
    </w:p>
    <w:p w:rsidR="007D1F4E" w:rsidRPr="00FA6E4E" w:rsidRDefault="00C87E7D" w:rsidP="00FA6E4E">
      <w:pPr>
        <w:pStyle w:val="Bodytext50"/>
        <w:shd w:val="clear" w:color="auto" w:fill="auto"/>
        <w:spacing w:before="0"/>
      </w:pPr>
      <w:r>
        <w:t>Dodatne informacije koje je potrebno uzeti u obzir</w:t>
      </w:r>
    </w:p>
    <w:p w:rsidR="007D1F4E" w:rsidRPr="00FA6E4E" w:rsidRDefault="00C87E7D" w:rsidP="00FA6E4E">
      <w:pPr>
        <w:pStyle w:val="Bodytext20"/>
        <w:shd w:val="clear" w:color="auto" w:fill="auto"/>
        <w:ind w:firstLine="0"/>
        <w:jc w:val="both"/>
      </w:pPr>
      <w:r>
        <w:t>Mnogi stanovnici vaših zemalja nemaju pristup električnoj energiji ili pouzdanoj i cjenovno pristupačnoj energiji. Vaše su zemlje odgovorne za samo oko 24 % današnjih globalnih emisija stakleničkih plinova, a emisije po stanovniku daleko su manje nego u razvijenim zemljama, pa čak i u Kini. Međutim, količina fosilnih goriva koja se koristi u vašim zemljama ubrzano raste jer se vaša gospodarstva razvijaju. Razvijene zemlje kumulativno su proizvele najveći dio stakleničkih plinova koji su doveli do klimatske krize, ali će stanovnici vaših zemalja biti najviše pogođeni klimatskim promjenama, a imaju najmanje mogućnosti da im se prilagode. Smatrate da razvijene zemlje imaju moralnu odgovornost smanjiti svoje emisije i da je provedba politika za borbu protiv klimatskih promjena nedopustiva ako će te politike usporiti vaš gospodarski razvoj i oslabiti vašu sposobnost da vlastitom stanovništvu osigurate hranu, radna mjesta, stanovanje, obrazovanje, zdravstvenu skrb i druge osnovne potrebe koje razvijene zemlje uzimaju zdravo za gotovo.</w:t>
      </w:r>
    </w:p>
    <w:p w:rsidR="007D1F4E" w:rsidRPr="00FA6E4E" w:rsidRDefault="00C87E7D" w:rsidP="00FA6E4E">
      <w:pPr>
        <w:pStyle w:val="Bodytext20"/>
        <w:shd w:val="clear" w:color="auto" w:fill="auto"/>
        <w:ind w:firstLine="0"/>
        <w:jc w:val="both"/>
      </w:pPr>
      <w:r>
        <w:lastRenderedPageBreak/>
        <w:t>S druge strane, klimatske promjene predstavljaju ozbiljnu opasnost za vaše blagostanje, zdravlje i život. Onečišćenje zraka prouzročeno fosilnim gorivima godišnje uzrokuje milijune slučajeva prerane smrti u vašim zemljama. Podizanje razine mora, ekstremni vremenski uvjeti, suše, pad prinosa usjeva i druge štete uzrokovane klimatskim promjenama sve češće potiču sukobe i migracije, čime se ugrožava legitimnost vaših vlada, a u slučaju malih otočnih država čak i samo postojanje. Vaše zemlje imaju priliku preskočiti energetski sustav utemeljen na fosilnim gorivima i odmah prijeći na čistu, učinkovitu i obnovljivu energiju, baš kao što su mnoge od njih preskočile fazu fiksnih telefona i odmah prešle na mobilne. Energetska učinkovitost i obnovljivi izvori energije poput vjetra i sunca često su profitabilni, stvaraju radna mjesta i gospodarske prilike te poboljšavaju javno zdravlje.</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Pripremili: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i UMAS </w:t>
    </w:r>
    <w:proofErr w:type="spellStart"/>
    <w:r>
      <w:rPr>
        <w:i/>
        <w:sz w:val="20"/>
        <w:szCs w:val="20"/>
      </w:rPr>
      <w:t>Lowell</w:t>
    </w:r>
    <w:proofErr w:type="spellEnd"/>
    <w:r>
      <w:rPr>
        <w:i/>
        <w:sz w:val="20"/>
        <w:szCs w:val="20"/>
      </w:rPr>
      <w:t xml:space="preserve"> </w:t>
    </w:r>
    <w:proofErr w:type="spellStart"/>
    <w:r>
      <w:rPr>
        <w:i/>
        <w:sz w:val="20"/>
        <w:szCs w:val="20"/>
      </w:rPr>
      <w:t>Climate</w:t>
    </w:r>
    <w:proofErr w:type="spellEnd"/>
    <w:r>
      <w:rPr>
        <w:i/>
        <w:sz w:val="20"/>
        <w:szCs w:val="20"/>
      </w:rPr>
      <w:t xml:space="preserve"> </w:t>
    </w:r>
    <w:proofErr w:type="spellStart"/>
    <w:r>
      <w:rPr>
        <w:i/>
        <w:sz w:val="20"/>
        <w:szCs w:val="20"/>
      </w:rPr>
      <w:t>Change</w:t>
    </w:r>
    <w:proofErr w:type="spellEnd"/>
    <w:r>
      <w:rPr>
        <w:i/>
        <w:sz w:val="20"/>
        <w:szCs w:val="20"/>
      </w:rPr>
      <w:t xml:space="preserve"> </w:t>
    </w:r>
    <w:proofErr w:type="spellStart"/>
    <w:r>
      <w:rPr>
        <w:i/>
        <w:sz w:val="20"/>
        <w:szCs w:val="20"/>
      </w:rPr>
      <w:t>Initiative</w:t>
    </w:r>
    <w:proofErr w:type="spellEnd"/>
    <w:r>
      <w:rPr>
        <w:i/>
        <w:sz w:val="20"/>
        <w:szCs w:val="20"/>
      </w:rPr>
      <w:t xml:space="preserve">. Posljednji put ažurirano u rujnu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4E"/>
    <w:rsid w:val="000478B6"/>
    <w:rsid w:val="00114C61"/>
    <w:rsid w:val="0033065F"/>
    <w:rsid w:val="00345F9F"/>
    <w:rsid w:val="00363BF1"/>
    <w:rsid w:val="003A2E5D"/>
    <w:rsid w:val="003F232F"/>
    <w:rsid w:val="00486689"/>
    <w:rsid w:val="00566D5C"/>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D4E3B"/>
    <w:rsid w:val="00B8781E"/>
    <w:rsid w:val="00BA4467"/>
    <w:rsid w:val="00C87E7D"/>
    <w:rsid w:val="00D10989"/>
    <w:rsid w:val="00DC3A12"/>
    <w:rsid w:val="00E65821"/>
    <w:rsid w:val="00E928ED"/>
    <w:rsid w:val="00F367C3"/>
    <w:rsid w:val="00F9273F"/>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AA9C0"/>
  <w15:docId w15:val="{809233FB-68C6-4DFB-8DEC-6C66E9F9BFD3}"/>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r-H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hr-HR"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hr-HR"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hr-HR"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hr-HR"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hr-HR"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hr-HR"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CTJJHAUHWN5E-644613129-2850</_dlc_DocId>
    <_dlc_DocIdUrl xmlns="bfc960a6-20da-4c94-8684-71380fca093b">
      <Url>http://dm2016/eesc/2019/_layouts/15/DocIdRedir.aspx?ID=CTJJHAUHWN5E-644613129-2850</Url>
      <Description>CTJJHAUHWN5E-644613129-2850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6CBC3B-6B32-4E42-AF98-A7CCCAB406B3}"/>
</file>

<file path=customXml/itemProps2.xml><?xml version="1.0" encoding="utf-8"?>
<ds:datastoreItem xmlns:ds="http://schemas.openxmlformats.org/officeDocument/2006/customXml" ds:itemID="{DB5195D8-1852-4677-AB50-71B2D7A38D87}"/>
</file>

<file path=customXml/itemProps3.xml><?xml version="1.0" encoding="utf-8"?>
<ds:datastoreItem xmlns:ds="http://schemas.openxmlformats.org/officeDocument/2006/customXml" ds:itemID="{99A7231B-CF68-49D8-ACD0-111B72FFCB54}"/>
</file>

<file path=customXml/itemProps4.xml><?xml version="1.0" encoding="utf-8"?>
<ds:datastoreItem xmlns:ds="http://schemas.openxmlformats.org/officeDocument/2006/customXml" ds:itemID="{39FE29CD-E86C-4357-9FAA-60F7A88F49FA}"/>
</file>

<file path=docProps/app.xml><?xml version="1.0" encoding="utf-8"?>
<Properties xmlns="http://schemas.openxmlformats.org/officeDocument/2006/extended-properties" xmlns:vt="http://schemas.openxmlformats.org/officeDocument/2006/docPropsVTypes">
  <Template>Styles</Template>
  <TotalTime>10</TotalTime>
  <Pages>3</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radni dokumenti grupa 6B - Simulacija djelovanja u području klime: zemlje u razvoju (II)</dc:title>
  <dc:creator>Knezovic Zrinka</dc:creator>
  <cp:keywords>EESC-2019-05163-06-00-INFO-TRA-EN</cp:keywords>
  <dc:description>Rapporteur:  - Original language: EN - Date of document: 10/12/2019 - Date of meeting:  - External documents:  - Administrator: MME LAHOUSSE Chloé</dc:description>
  <cp:lastModifiedBy>Zrinka Knezovic</cp:lastModifiedBy>
  <cp:revision>4</cp:revision>
  <dcterms:created xsi:type="dcterms:W3CDTF">2019-12-10T07:50:00Z</dcterms:created>
  <dcterms:modified xsi:type="dcterms:W3CDTF">2019-12-10T07:59:00Z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c63943fa-291d-4d82-9d66-215e7d118b18</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TR|6e4ededd-04c4-4fa0-94e0-1028050302d5;IT|0774613c-01ed-4e5d-a25d-11d2388de825;MT|7df99101-6854-4a26-b53a-b88c0da02c26;NL|55c6556c-b4f4-441d-9acf-c498d4f838bd;SK|46d9fce0-ef79-4f71-b89b-cd6aa82426b8;PT|50ccc04a-eadd-42ae-a0cb-acaf45f812ba;PL|1e03da61-4678-4e07-b136-b5024ca9197b;ME|925b3da5-5ac0-4b3c-928c-6ef66a5c9b3c;SQ|5ac17240-8d11-45ec-9893-659b209d7a00;BG|1a1b3951-7821-4e6a-85f5-5673fc08bd2c;FI|87606a43-d45f-42d6-b8c9-e1a3457db5b7;SR|7f3a1d13-b985-4bfd-981e-afe31377edff;ES|e7a6b05b-ae16-40c8-add9-68b64b03aeba;EN|f2175f21-25d7-44a3-96da-d6a61b075e1b;EL|6d4f4d51-af9b-4650-94b4-4276bee85c91;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72;#GA|762d2456-c427-4ecb-b312-af3dad8e258c;#152;#MK|34ce48bb-063e-4413-a932-50853dc71c5c;#153;#SR|7f3a1d13-b985-4bfd-981e-afe31377edff;#64;#PT|50ccc04a-eadd-42ae-a0cb-acaf45f812ba;#63;#MT|7df99101-6854-4a26-b53a-b88c0da02c26;#25;#SK|46d9fce0-ef79-4f71-b89b-cd6aa82426b8;#246;#ME|925b3da5-5ac0-4b3c-928c-6ef66a5c9b3c;#62;#FI|87606a43-d45f-42d6-b8c9-e1a3457db5b7;#21;#IT|0774613c-01ed-4e5d-a25d-11d2388de825;#55;#BG|1a1b3951-7821-4e6a-85f5-5673fc08bd2c;#17;#ES|e7a6b05b-ae16-40c8-add9-68b64b03aeba;#16;#PL|1e03da61-4678-4e07-b136-b5024ca9197b;#52;#DA|5d49c027-8956-412b-aa16-e85a0f96ad0e;#162;#TR|6e4ededd-04c4-4fa0-94e0-1028050302d5;#49;#EL|6d4f4d51-af9b-4650-94b4-4276bee85c91;#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59;#HR|2f555653-ed1a-4fe6-8362-9082d95989e5</vt:lpwstr>
  </property>
</Properties>
</file>